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A52E" w14:textId="77777777" w:rsidR="003C6620" w:rsidRDefault="003C6620" w:rsidP="003C6620">
      <w:pPr>
        <w:widowControl/>
        <w:shd w:val="clear" w:color="auto" w:fill="FFFFFF"/>
        <w:snapToGrid w:val="0"/>
        <w:jc w:val="center"/>
        <w:rPr>
          <w:rFonts w:ascii="Times New Roman" w:eastAsia="新細明體" w:hAnsi="Times New Roman" w:cs="Times New Roman"/>
          <w:b/>
          <w:bCs/>
          <w:kern w:val="0"/>
          <w:sz w:val="32"/>
          <w:szCs w:val="32"/>
          <w:lang w:bidi="th-TH"/>
        </w:rPr>
      </w:pPr>
      <w:bookmarkStart w:id="0" w:name="_GoBack"/>
      <w:bookmarkEnd w:id="0"/>
      <w:r w:rsidRPr="003C6620">
        <w:rPr>
          <w:rFonts w:ascii="Times New Roman" w:eastAsia="新細明體" w:hAnsi="Times New Roman" w:cs="Times New Roman"/>
          <w:b/>
          <w:bCs/>
          <w:kern w:val="0"/>
          <w:sz w:val="32"/>
          <w:szCs w:val="32"/>
          <w:lang w:bidi="th-TH"/>
        </w:rPr>
        <w:t>NATIONAL TAIWAN UNIVERSITY LIBRARY</w:t>
      </w:r>
    </w:p>
    <w:p w14:paraId="7A399168" w14:textId="2135D3EB" w:rsidR="007B0764" w:rsidRPr="003C6620" w:rsidRDefault="003C6620" w:rsidP="003C6620">
      <w:pPr>
        <w:widowControl/>
        <w:shd w:val="clear" w:color="auto" w:fill="FFFFFF"/>
        <w:snapToGrid w:val="0"/>
        <w:jc w:val="center"/>
        <w:rPr>
          <w:rFonts w:ascii="Times New Roman" w:eastAsia="新細明體" w:hAnsi="Times New Roman" w:cs="Times New Roman"/>
          <w:b/>
          <w:bCs/>
          <w:kern w:val="0"/>
          <w:sz w:val="32"/>
          <w:szCs w:val="32"/>
          <w:lang w:bidi="th-TH"/>
        </w:rPr>
      </w:pPr>
      <w:r w:rsidRPr="003C6620">
        <w:rPr>
          <w:rFonts w:ascii="Times New Roman" w:eastAsia="新細明體" w:hAnsi="Times New Roman" w:cs="Times New Roman"/>
          <w:b/>
          <w:bCs/>
          <w:kern w:val="0"/>
          <w:sz w:val="32"/>
          <w:szCs w:val="32"/>
          <w:lang w:bidi="th-TH"/>
        </w:rPr>
        <w:t>Principles for Journal Subscriptions</w:t>
      </w:r>
    </w:p>
    <w:p w14:paraId="1771BD10" w14:textId="77777777" w:rsid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p>
    <w:p w14:paraId="0D8C41A3" w14:textId="096701ED" w:rsidR="007B0764" w:rsidRP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April 16, 1987 </w:t>
      </w: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Passed by the </w:t>
      </w:r>
      <w:r>
        <w:rPr>
          <w:rFonts w:ascii="Times New Roman" w:eastAsia="標楷體" w:hAnsi="Times New Roman" w:cs="Times New Roman"/>
          <w:sz w:val="20"/>
          <w:szCs w:val="20"/>
        </w:rPr>
        <w:t>NTU</w:t>
      </w:r>
      <w:r w:rsidRPr="003C6620">
        <w:rPr>
          <w:rFonts w:ascii="Times New Roman" w:eastAsia="標楷體" w:hAnsi="Times New Roman" w:cs="Times New Roman"/>
          <w:sz w:val="20"/>
          <w:szCs w:val="20"/>
        </w:rPr>
        <w:t xml:space="preserve"> Library Committee at its 2</w:t>
      </w:r>
      <w:r w:rsidRPr="003C6620">
        <w:rPr>
          <w:rFonts w:ascii="Times New Roman" w:eastAsia="標楷體" w:hAnsi="Times New Roman" w:cs="Times New Roman"/>
          <w:sz w:val="20"/>
          <w:szCs w:val="20"/>
          <w:vertAlign w:val="superscript"/>
        </w:rPr>
        <w:t>nd</w:t>
      </w:r>
      <w:r w:rsidRPr="003C6620">
        <w:rPr>
          <w:rFonts w:ascii="Times New Roman" w:eastAsia="標楷體" w:hAnsi="Times New Roman" w:cs="Times New Roman"/>
          <w:sz w:val="20"/>
          <w:szCs w:val="20"/>
        </w:rPr>
        <w:t xml:space="preserve"> meeting, Academic Year 1986–87</w:t>
      </w:r>
    </w:p>
    <w:p w14:paraId="58BED19F" w14:textId="23ADA866" w:rsidR="007B0764" w:rsidRP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March 1996 </w:t>
      </w: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Amended and passed by the Library Affairs Meeting</w:t>
      </w:r>
    </w:p>
    <w:p w14:paraId="2B7C9E93" w14:textId="5F832AA0" w:rsidR="007B0764" w:rsidRP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April 13, 2021 </w:t>
      </w: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Amended and passed by the 542</w:t>
      </w:r>
      <w:r w:rsidRPr="003C6620">
        <w:rPr>
          <w:rFonts w:ascii="Times New Roman" w:eastAsia="標楷體" w:hAnsi="Times New Roman" w:cs="Times New Roman"/>
          <w:sz w:val="20"/>
          <w:szCs w:val="20"/>
          <w:vertAlign w:val="superscript"/>
        </w:rPr>
        <w:t xml:space="preserve">nd </w:t>
      </w:r>
      <w:r w:rsidRPr="003C6620">
        <w:rPr>
          <w:rFonts w:ascii="Times New Roman" w:eastAsia="標楷體" w:hAnsi="Times New Roman" w:cs="Times New Roman"/>
          <w:sz w:val="20"/>
          <w:szCs w:val="20"/>
        </w:rPr>
        <w:t xml:space="preserve">Library </w:t>
      </w:r>
      <w:r>
        <w:rPr>
          <w:rFonts w:ascii="Times New Roman" w:eastAsia="標楷體" w:hAnsi="Times New Roman" w:cs="Times New Roman" w:hint="eastAsia"/>
          <w:sz w:val="20"/>
          <w:szCs w:val="20"/>
        </w:rPr>
        <w:t>Af</w:t>
      </w:r>
      <w:r>
        <w:rPr>
          <w:rFonts w:ascii="Times New Roman" w:eastAsia="標楷體" w:hAnsi="Times New Roman" w:cs="Times New Roman"/>
          <w:sz w:val="20"/>
          <w:szCs w:val="20"/>
        </w:rPr>
        <w:t>fairs</w:t>
      </w:r>
      <w:r w:rsidRPr="003C6620">
        <w:rPr>
          <w:rFonts w:ascii="Times New Roman" w:eastAsia="標楷體" w:hAnsi="Times New Roman" w:cs="Times New Roman"/>
          <w:sz w:val="20"/>
          <w:szCs w:val="20"/>
        </w:rPr>
        <w:t xml:space="preserve"> Meeting</w:t>
      </w:r>
    </w:p>
    <w:p w14:paraId="66DC30C3" w14:textId="3A1B5E24" w:rsidR="007B0764"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June 18, 2021 </w:t>
      </w:r>
      <w:r>
        <w:rPr>
          <w:rFonts w:ascii="Times New Roman" w:eastAsia="標楷體" w:hAnsi="Times New Roman" w:cs="Times New Roman"/>
          <w:sz w:val="20"/>
          <w:szCs w:val="20"/>
        </w:rPr>
        <w:tab/>
      </w:r>
      <w:r w:rsidRPr="003C6620">
        <w:rPr>
          <w:rFonts w:ascii="Times New Roman" w:eastAsia="標楷體" w:hAnsi="Times New Roman" w:cs="Times New Roman"/>
          <w:sz w:val="20"/>
          <w:szCs w:val="20"/>
        </w:rPr>
        <w:t xml:space="preserve">Passed by the </w:t>
      </w:r>
      <w:r>
        <w:rPr>
          <w:rFonts w:ascii="Times New Roman" w:eastAsia="標楷體" w:hAnsi="Times New Roman" w:cs="Times New Roman"/>
          <w:sz w:val="20"/>
          <w:szCs w:val="20"/>
        </w:rPr>
        <w:t>NTU</w:t>
      </w:r>
      <w:r w:rsidRPr="003C6620">
        <w:rPr>
          <w:rFonts w:ascii="Times New Roman" w:eastAsia="標楷體" w:hAnsi="Times New Roman" w:cs="Times New Roman"/>
          <w:sz w:val="20"/>
          <w:szCs w:val="20"/>
        </w:rPr>
        <w:t xml:space="preserve"> Library Committee at its 2</w:t>
      </w:r>
      <w:r w:rsidRPr="003C6620">
        <w:rPr>
          <w:rFonts w:ascii="Times New Roman" w:eastAsia="標楷體" w:hAnsi="Times New Roman" w:cs="Times New Roman"/>
          <w:sz w:val="20"/>
          <w:szCs w:val="20"/>
          <w:vertAlign w:val="superscript"/>
        </w:rPr>
        <w:t>nd</w:t>
      </w:r>
      <w:r w:rsidRPr="003C6620">
        <w:rPr>
          <w:rFonts w:ascii="Times New Roman" w:eastAsia="標楷體" w:hAnsi="Times New Roman" w:cs="Times New Roman"/>
          <w:sz w:val="20"/>
          <w:szCs w:val="20"/>
        </w:rPr>
        <w:t xml:space="preserve"> meeting, Academic Year 2020–21</w:t>
      </w:r>
    </w:p>
    <w:p w14:paraId="117F554B" w14:textId="5CF7D9AA" w:rsid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p>
    <w:p w14:paraId="2B6635AC" w14:textId="77777777" w:rsidR="003C6620" w:rsidRPr="003C6620" w:rsidRDefault="003C6620" w:rsidP="003C6620">
      <w:pPr>
        <w:tabs>
          <w:tab w:val="right" w:pos="1418"/>
          <w:tab w:val="left" w:pos="1701"/>
        </w:tabs>
        <w:snapToGrid w:val="0"/>
        <w:ind w:leftChars="-1" w:left="1700" w:hangingChars="851" w:hanging="1702"/>
        <w:rPr>
          <w:rFonts w:ascii="Times New Roman" w:eastAsia="標楷體" w:hAnsi="Times New Roman" w:cs="Times New Roman"/>
          <w:sz w:val="20"/>
          <w:szCs w:val="20"/>
        </w:rPr>
      </w:pPr>
    </w:p>
    <w:p w14:paraId="28478DFF" w14:textId="070C7F80" w:rsidR="007B0764" w:rsidRPr="003C6620" w:rsidRDefault="003C6620" w:rsidP="003C6620">
      <w:pPr>
        <w:numPr>
          <w:ilvl w:val="0"/>
          <w:numId w:val="1"/>
        </w:numPr>
        <w:tabs>
          <w:tab w:val="left" w:pos="1134"/>
        </w:tabs>
        <w:adjustRightInd w:val="0"/>
        <w:snapToGrid w:val="0"/>
        <w:ind w:left="1134" w:hanging="1134"/>
        <w:rPr>
          <w:rFonts w:ascii="Times New Roman" w:eastAsia="新細明體" w:hAnsi="Times New Roman" w:cs="Times New Roman"/>
          <w:szCs w:val="24"/>
        </w:rPr>
      </w:pPr>
      <w:r w:rsidRPr="003C6620">
        <w:rPr>
          <w:rFonts w:ascii="Times New Roman" w:eastAsia="新細明體" w:hAnsi="Times New Roman" w:cs="Times New Roman"/>
          <w:szCs w:val="24"/>
        </w:rPr>
        <w:t>In principle, the journal subscription fees incurred by each academic program and college may not exceed the journal subscription budget allocated to the unit by the University for the given year.</w:t>
      </w:r>
    </w:p>
    <w:p w14:paraId="5C1F2B5A" w14:textId="0583FF23" w:rsidR="007B0764" w:rsidRPr="003C6620" w:rsidRDefault="003C6620" w:rsidP="003C6620">
      <w:pPr>
        <w:numPr>
          <w:ilvl w:val="0"/>
          <w:numId w:val="1"/>
        </w:numPr>
        <w:tabs>
          <w:tab w:val="left" w:pos="1134"/>
        </w:tabs>
        <w:adjustRightInd w:val="0"/>
        <w:snapToGrid w:val="0"/>
        <w:spacing w:beforeLines="50" w:before="180"/>
        <w:ind w:left="1134" w:hanging="1134"/>
        <w:rPr>
          <w:rFonts w:ascii="Times New Roman" w:eastAsia="標楷體" w:hAnsi="Times New Roman" w:cs="Times New Roman"/>
        </w:rPr>
      </w:pPr>
      <w:r w:rsidRPr="003C6620">
        <w:rPr>
          <w:rFonts w:ascii="Times New Roman" w:eastAsia="標楷體" w:hAnsi="Times New Roman" w:cs="Times New Roman"/>
        </w:rPr>
        <w:t>Each college shall be responsible for confirming the available journal subscription budget in the following year for any newly established academic programs within the college. Journal subscriptions for said academic programs shall be dealt with in the same time frame as the college’s annual subscription renewal review.</w:t>
      </w:r>
      <w:r w:rsidRPr="003C6620">
        <w:rPr>
          <w:rFonts w:ascii="Times New Roman" w:hAnsi="Times New Roman" w:cs="Times New Roman"/>
        </w:rPr>
        <w:t xml:space="preserve"> </w:t>
      </w:r>
    </w:p>
    <w:p w14:paraId="32CF12FB" w14:textId="465B5605" w:rsidR="007B0764" w:rsidRPr="003C6620" w:rsidRDefault="003C6620" w:rsidP="003C6620">
      <w:pPr>
        <w:numPr>
          <w:ilvl w:val="0"/>
          <w:numId w:val="1"/>
        </w:numPr>
        <w:tabs>
          <w:tab w:val="left" w:pos="1134"/>
        </w:tabs>
        <w:adjustRightInd w:val="0"/>
        <w:snapToGrid w:val="0"/>
        <w:spacing w:beforeLines="50" w:before="180"/>
        <w:ind w:left="1134" w:hanging="1134"/>
        <w:rPr>
          <w:rFonts w:ascii="Times New Roman" w:eastAsia="標楷體" w:hAnsi="Times New Roman" w:cs="Times New Roman"/>
        </w:rPr>
      </w:pPr>
      <w:r w:rsidRPr="003C6620">
        <w:rPr>
          <w:rFonts w:ascii="Times New Roman" w:eastAsia="標楷體" w:hAnsi="Times New Roman" w:cs="Times New Roman"/>
        </w:rPr>
        <w:t>Academic programs and colleges shall prioritize subscriptions to journals that are closely related to their respective discipline.</w:t>
      </w:r>
      <w:r w:rsidRPr="003C6620">
        <w:rPr>
          <w:rFonts w:ascii="Times New Roman" w:hAnsi="Times New Roman" w:cs="Times New Roman"/>
        </w:rPr>
        <w:t xml:space="preserve"> </w:t>
      </w:r>
    </w:p>
    <w:p w14:paraId="4D18079E" w14:textId="667234AA" w:rsidR="007B0764" w:rsidRPr="003C6620" w:rsidRDefault="003C6620" w:rsidP="003C6620">
      <w:pPr>
        <w:numPr>
          <w:ilvl w:val="0"/>
          <w:numId w:val="1"/>
        </w:numPr>
        <w:tabs>
          <w:tab w:val="left" w:pos="1134"/>
        </w:tabs>
        <w:adjustRightInd w:val="0"/>
        <w:snapToGrid w:val="0"/>
        <w:spacing w:beforeLines="50" w:before="180"/>
        <w:ind w:left="1134" w:hanging="1134"/>
        <w:rPr>
          <w:rFonts w:ascii="Times New Roman" w:eastAsia="標楷體" w:hAnsi="Times New Roman" w:cs="Times New Roman"/>
        </w:rPr>
      </w:pPr>
      <w:r w:rsidRPr="003C6620">
        <w:rPr>
          <w:rFonts w:ascii="Times New Roman" w:eastAsia="標楷體" w:hAnsi="Times New Roman" w:cs="Times New Roman"/>
        </w:rPr>
        <w:t>Duplicate subscriptions shall be avoided.</w:t>
      </w:r>
      <w:r w:rsidRPr="003C6620">
        <w:rPr>
          <w:rFonts w:ascii="Times New Roman" w:hAnsi="Times New Roman" w:cs="Times New Roman"/>
        </w:rPr>
        <w:t xml:space="preserve"> </w:t>
      </w:r>
    </w:p>
    <w:p w14:paraId="601D2EF6" w14:textId="213AC3B2" w:rsidR="007B0764" w:rsidRPr="003C6620" w:rsidRDefault="003C6620" w:rsidP="003C6620">
      <w:pPr>
        <w:numPr>
          <w:ilvl w:val="0"/>
          <w:numId w:val="1"/>
        </w:numPr>
        <w:tabs>
          <w:tab w:val="left" w:pos="1134"/>
        </w:tabs>
        <w:adjustRightInd w:val="0"/>
        <w:snapToGrid w:val="0"/>
        <w:spacing w:beforeLines="50" w:before="180"/>
        <w:ind w:left="1134" w:hanging="1134"/>
        <w:rPr>
          <w:rFonts w:ascii="Times New Roman" w:eastAsia="標楷體" w:hAnsi="Times New Roman" w:cs="Times New Roman"/>
        </w:rPr>
      </w:pPr>
      <w:r w:rsidRPr="003C6620">
        <w:rPr>
          <w:rFonts w:ascii="Times New Roman" w:eastAsia="標楷體" w:hAnsi="Times New Roman" w:cs="Times New Roman"/>
        </w:rPr>
        <w:t xml:space="preserve">Each academic program and college’s subscriptions shall be handled in accordance with National Taiwan University Library’s </w:t>
      </w:r>
      <w:r w:rsidRPr="003C6620">
        <w:rPr>
          <w:rFonts w:ascii="Times New Roman" w:eastAsia="標楷體" w:hAnsi="Times New Roman" w:cs="Times New Roman"/>
          <w:i/>
          <w:iCs/>
        </w:rPr>
        <w:t>Journal Subscription Procedures</w:t>
      </w:r>
      <w:r w:rsidRPr="003C6620">
        <w:rPr>
          <w:rFonts w:ascii="Times New Roman" w:eastAsia="標楷體" w:hAnsi="Times New Roman" w:cs="Times New Roman"/>
        </w:rPr>
        <w:t>.</w:t>
      </w:r>
      <w:r w:rsidRPr="003C6620">
        <w:rPr>
          <w:rFonts w:ascii="Times New Roman" w:hAnsi="Times New Roman" w:cs="Times New Roman"/>
        </w:rPr>
        <w:t xml:space="preserve"> </w:t>
      </w:r>
    </w:p>
    <w:p w14:paraId="2EA5ECF8" w14:textId="5EE0D16B" w:rsidR="007B0764" w:rsidRPr="003C6620" w:rsidRDefault="003C6620" w:rsidP="003C6620">
      <w:pPr>
        <w:numPr>
          <w:ilvl w:val="0"/>
          <w:numId w:val="1"/>
        </w:numPr>
        <w:tabs>
          <w:tab w:val="left" w:pos="1134"/>
        </w:tabs>
        <w:adjustRightInd w:val="0"/>
        <w:snapToGrid w:val="0"/>
        <w:spacing w:beforeLines="50" w:before="180"/>
        <w:ind w:left="1134" w:hanging="1134"/>
        <w:rPr>
          <w:rFonts w:ascii="Times New Roman" w:eastAsia="標楷體" w:hAnsi="Times New Roman" w:cs="Times New Roman"/>
        </w:rPr>
      </w:pPr>
      <w:r w:rsidRPr="003C6620">
        <w:rPr>
          <w:rFonts w:ascii="Times New Roman" w:eastAsia="標楷體" w:hAnsi="Times New Roman" w:cs="Times New Roman"/>
        </w:rPr>
        <w:t xml:space="preserve">These principles shall be passed by the </w:t>
      </w:r>
      <w:r>
        <w:rPr>
          <w:rFonts w:ascii="Times New Roman" w:eastAsia="標楷體" w:hAnsi="Times New Roman" w:cs="Times New Roman"/>
        </w:rPr>
        <w:t>NTU</w:t>
      </w:r>
      <w:r w:rsidRPr="003C6620">
        <w:rPr>
          <w:rFonts w:ascii="Times New Roman" w:eastAsia="標楷體" w:hAnsi="Times New Roman" w:cs="Times New Roman"/>
        </w:rPr>
        <w:t xml:space="preserve"> Library Committee and then implemented on the date of promulgation.</w:t>
      </w:r>
      <w:r w:rsidRPr="003C6620">
        <w:rPr>
          <w:rFonts w:ascii="Times New Roman" w:hAnsi="Times New Roman" w:cs="Times New Roman"/>
        </w:rPr>
        <w:t xml:space="preserve"> </w:t>
      </w:r>
    </w:p>
    <w:p w14:paraId="473DDFFD" w14:textId="77777777" w:rsidR="007B0764" w:rsidRPr="003C6620" w:rsidRDefault="007B0764">
      <w:pPr>
        <w:rPr>
          <w:rFonts w:ascii="Times New Roman" w:hAnsi="Times New Roman" w:cs="Times New Roman"/>
        </w:rPr>
      </w:pPr>
    </w:p>
    <w:sectPr w:rsidR="007B0764" w:rsidRPr="003C6620" w:rsidSect="003C6620">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8121F"/>
    <w:multiLevelType w:val="hybridMultilevel"/>
    <w:tmpl w:val="C422F486"/>
    <w:lvl w:ilvl="0" w:tplc="3D124962">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08"/>
    <w:rsid w:val="003053BB"/>
    <w:rsid w:val="003C6620"/>
    <w:rsid w:val="006705DF"/>
    <w:rsid w:val="007B0764"/>
    <w:rsid w:val="00DC4C08"/>
    <w:rsid w:val="00F501AB"/>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01CE"/>
  <w15:chartTrackingRefBased/>
  <w15:docId w15:val="{9FAF6395-A693-44C3-B9C5-DC9C13CF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1">
    <w:name w:val="msonormal1"/>
    <w:basedOn w:val="a0"/>
    <w:rsid w:val="00DC4C08"/>
  </w:style>
  <w:style w:type="character" w:styleId="a3">
    <w:name w:val="Hyperlink"/>
    <w:basedOn w:val="a0"/>
    <w:uiPriority w:val="99"/>
    <w:unhideWhenUsed/>
    <w:rsid w:val="00DC4C08"/>
    <w:rPr>
      <w:color w:val="0000FF"/>
      <w:u w:val="single"/>
    </w:rPr>
  </w:style>
  <w:style w:type="paragraph" w:styleId="a4">
    <w:name w:val="List Paragraph"/>
    <w:basedOn w:val="a"/>
    <w:uiPriority w:val="34"/>
    <w:qFormat/>
    <w:rsid w:val="003C66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2023-07-24T02:11:00Z</dcterms:created>
  <dcterms:modified xsi:type="dcterms:W3CDTF">2023-07-24T02:11:00Z</dcterms:modified>
</cp:coreProperties>
</file>